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ZARZĄDZENIE Burmistrza Mikołowa</w:t>
      </w:r>
    </w:p>
    <w:p>
      <w:pPr>
        <w:pStyle w:val="TYTU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NR </w:t>
      </w:r>
      <w:r>
        <w:rPr>
          <w:rFonts w:eastAsia="Times New Roman" w:cs="Arial" w:ascii="Arial" w:hAnsi="Arial"/>
          <w:b/>
          <w:caps/>
          <w:color w:val="auto"/>
          <w:sz w:val="28"/>
          <w:szCs w:val="28"/>
          <w:lang w:val="pl-PL" w:eastAsia="zxx" w:bidi="ar-SA"/>
        </w:rPr>
        <w:t>721</w:t>
      </w:r>
      <w:r>
        <w:rPr>
          <w:rFonts w:cs="Arial" w:ascii="Arial" w:hAnsi="Arial"/>
          <w:sz w:val="28"/>
          <w:szCs w:val="28"/>
        </w:rPr>
        <w:t>/</w:t>
      </w:r>
      <w:r>
        <w:rPr>
          <w:rFonts w:eastAsia="Times New Roman" w:cs="Arial" w:ascii="Arial" w:hAnsi="Arial"/>
          <w:b/>
          <w:caps/>
          <w:color w:val="auto"/>
          <w:sz w:val="28"/>
          <w:szCs w:val="28"/>
          <w:lang w:val="pl-PL" w:eastAsia="zxx" w:bidi="ar-SA"/>
        </w:rPr>
        <w:t>126</w:t>
      </w:r>
      <w:r>
        <w:rPr>
          <w:rFonts w:cs="Arial" w:ascii="Arial" w:hAnsi="Arial"/>
          <w:sz w:val="28"/>
          <w:szCs w:val="28"/>
        </w:rPr>
        <w:t>/2026</w:t>
      </w:r>
    </w:p>
    <w:p>
      <w:pPr>
        <w:pStyle w:val="TYTU"/>
        <w:spacing w:lineRule="auto" w:line="240" w:before="0" w:after="0"/>
        <w:jc w:val="center"/>
        <w:rPr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z dnia 28 MAJA 2026 roku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LiberationSerif-Bold"/>
          <w:b/>
          <w:bCs/>
          <w:color w:val="000000"/>
          <w:sz w:val="24"/>
          <w:szCs w:val="24"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  <w:t xml:space="preserve">w sprawie analizy prawdopodobieństwa naruszenia prawa w ramach  wykonywania działalności gospodarczej przez przedsiębiorców 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>odbierających odpady komunalne od właścicieli nieruchomości  oraz przedsiębiorców prowadzących działalność w</w:t>
      </w:r>
      <w:r>
        <w:rPr>
          <w:rFonts w:cs="Times New Roman" w:ascii="Arial" w:hAnsi="Arial"/>
          <w:b/>
          <w:bCs/>
          <w:color w:val="000000"/>
          <w:sz w:val="24"/>
          <w:szCs w:val="24"/>
        </w:rPr>
        <w:t> zakresie opróżniania zbiorników bezodpływowych lub osadników w instalacjach przydomowych oczyszczalni ścieków i transportu nieczystości ciekłych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 na terenie gminy Mikołów</w:t>
      </w:r>
    </w:p>
    <w:p>
      <w:pPr>
        <w:pStyle w:val="Normal"/>
        <w:spacing w:lineRule="auto" w:line="240" w:before="0" w:after="0"/>
        <w:jc w:val="center"/>
        <w:rPr>
          <w:rFonts w:ascii="Arial" w:hAnsi="Arial" w:cs="LiberationSerif-Bold"/>
          <w:b/>
          <w:bCs/>
          <w:color w:val="000000"/>
          <w:sz w:val="24"/>
          <w:szCs w:val="24"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LiberationSerif-Bold"/>
          <w:b/>
          <w:bCs/>
          <w:color w:val="000000"/>
          <w:sz w:val="24"/>
          <w:szCs w:val="24"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LiberationSerif-Bold"/>
          <w:b/>
          <w:bCs/>
          <w:color w:val="000000"/>
          <w:sz w:val="24"/>
          <w:szCs w:val="24"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ab/>
        <w:t xml:space="preserve">Na podstawie art. 30 ust. 1 ustawy z dnia 8 marca 1990 r. o samorządzie gminnym (t.j. Dz. U. z 2025 r. poz. 1153 z późn. zm.  ) oraz  art. 47 ust. 1 ustawy z dnia </w:t>
      </w:r>
      <w:r>
        <w:rPr>
          <w:rFonts w:cs="TimesNewRomanPSMT" w:ascii="Arial" w:hAnsi="Arial"/>
          <w:color w:val="333333"/>
          <w:sz w:val="24"/>
          <w:szCs w:val="24"/>
        </w:rPr>
        <w:t xml:space="preserve">6 marca 2018 r. Prawo przedsiębiorców </w:t>
      </w:r>
      <w:r>
        <w:rPr>
          <w:rFonts w:cs="TimesNewRomanPSMT" w:ascii="Arial" w:hAnsi="Arial"/>
          <w:color w:val="000000"/>
          <w:sz w:val="24"/>
          <w:szCs w:val="24"/>
        </w:rPr>
        <w:t>(t.j. Dz. U. z 2025 r.  poz. 1480 z późn. zm.) w związku art. 9u ustawy  dnia 13 września 1996 r. o</w:t>
      </w:r>
      <w:r>
        <w:rPr>
          <w:rFonts w:cs="LiberationSerif-Bold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LiberationSerif-Bold" w:ascii="Arial" w:hAnsi="Arial"/>
          <w:b w:val="false"/>
          <w:bCs w:val="false"/>
          <w:color w:val="000000"/>
          <w:sz w:val="24"/>
          <w:szCs w:val="24"/>
        </w:rPr>
        <w:t>utrzymaniu czystości i porządku w gminach (t.j. Dz. U. z 2025 r. poz. 733)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a14"/>
        <w:tabs>
          <w:tab w:val="clear" w:pos="708"/>
          <w:tab w:val="left" w:pos="9637" w:leader="none"/>
        </w:tabs>
        <w:bidi w:val="0"/>
        <w:spacing w:before="20" w:after="20"/>
        <w:ind w:right="97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zarządzam, co następuje:</w:t>
      </w:r>
    </w:p>
    <w:p>
      <w:pPr>
        <w:pStyle w:val="Default"/>
        <w:tabs>
          <w:tab w:val="clear" w:pos="708"/>
          <w:tab w:val="left" w:pos="9637" w:leader="none"/>
        </w:tabs>
        <w:bidi w:val="0"/>
        <w:spacing w:before="20" w:after="20"/>
        <w:ind w:right="9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§ 1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1. Celem analizy ryzyka jest ocena prawdopodobieństwa naruszenia przepisów prawa w ramach wykonywania działalności gospodarczej przez przedsiębiorców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odbierających odpady komunalne od właścicieli nieruchomości oraz przedsiębiorców prowadzących działalność w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> zakresie opróżniania zbiorników bezodpływowych lub osadników w instalacjach przydomowych oczyszczalni ścieków i transportu nieczystości ciekłych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 xml:space="preserve"> na terenie gminy Mikołów.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2. Analiza obejmuje identyfikację obszarów podmiotowych i przedmiotowych.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3. Obszar podmiotowy obejmuje: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a) przedsiębiorców odbierających odpady komunalne od właścicieli nieruchomości,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b)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przedsiębiorców prowadzących działalność w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> zakresie opróżniania zbiorników bezodpływowych lub osadników w instalacjach  przydomowych oczyszczalni ścieków i transportu nieczystości ciekłych</w:t>
      </w:r>
      <w:r>
        <w:rPr>
          <w:rFonts w:cs="LiberationSerif" w:ascii="Arial" w:hAnsi="Arial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4. Obszar przedmiotowy obejmuje: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a) przestrzeganie przepisów prawa przez przedsiębiorców odbierających odpady komunalne od właścicieli nieruchomości następujących ustaw: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ustawy z dnia 13 września 1996 r. o utrzymaniu czystości i porządku w gminach (t.j. Dz. U. z 2025 poz. 733),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ustawy z dnia 14 grudnia 2012 r. o odpadach (t.j. Dz. U. z 2023 r. poz. 1587 z późn. zm.) i aktów wykonawczych,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ustawy z dnia 27 kwietnia 2001 r. Prawo ochrony środowiska (t.j. Dz. U.  z 2025 r. poz. 647 z późn. zm.) i aktów wykonawczych,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LiberationSerif" w:ascii="Arial" w:hAnsi="Arial"/>
          <w:color w:val="000000"/>
          <w:sz w:val="24"/>
          <w:szCs w:val="24"/>
        </w:rPr>
        <w:t xml:space="preserve"> ustawy z dnia 6 marca 2018 r. Prawo przedsiębiorców (t.j. Dz. U. z </w:t>
      </w:r>
      <w:r>
        <w:rPr>
          <w:rFonts w:cs="TimesNewRomanPSMT" w:ascii="Arial" w:hAnsi="Arial"/>
          <w:color w:val="000000"/>
          <w:sz w:val="24"/>
          <w:szCs w:val="24"/>
        </w:rPr>
        <w:t>2025 r.  poz. 1480 z późn. zm.</w:t>
      </w:r>
      <w:r>
        <w:rPr>
          <w:rFonts w:cs="LiberationSerif" w:ascii="Arial" w:hAnsi="Arial"/>
          <w:color w:val="000000"/>
          <w:sz w:val="24"/>
          <w:szCs w:val="24"/>
        </w:rPr>
        <w:t>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rozporządzenia Ministra Środowiska z dnia 11 stycznia 2013 r. w sprawie szczegółowych wymagań w zakresie odbierania odpadów komunalnych od właścicieli nieruchomości (Dz. U. z 2013 r. poz. 122 ),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- uchwały </w:t>
      </w:r>
      <w:bookmarkStart w:id="0" w:name="tresc_kopia_1"/>
      <w:bookmarkEnd w:id="0"/>
      <w:r>
        <w:rPr>
          <w:rFonts w:cs="LiberationSerif" w:ascii="Arial" w:hAnsi="Arial"/>
          <w:color w:val="000000"/>
          <w:sz w:val="24"/>
          <w:szCs w:val="24"/>
        </w:rPr>
        <w:t>Rady Miejskiej Mikołowa Nr LXIII/626/2022 z dnia 20 grudnia 2022 r. w sprawie 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gminy,</w:t>
      </w:r>
    </w:p>
    <w:p>
      <w:pPr>
        <w:pStyle w:val="Normal"/>
        <w:spacing w:lineRule="auto" w:line="240" w:before="0" w:after="0"/>
        <w:jc w:val="both"/>
        <w:rPr>
          <w:rFonts w:cs="LiberationSerif"/>
          <w:color w:val="000000"/>
          <w:sz w:val="24"/>
          <w:szCs w:val="24"/>
        </w:rPr>
      </w:pPr>
      <w:r>
        <w:rPr>
          <w:rFonts w:cs="LiberationSerif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b) przestrzeganie przepisów prawa przez przedsiębiorców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prowadzących  działalność w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 xml:space="preserve"> zakresie opróżniania zbiorników bezodpływowych lub osadników w instalacjach przydomowych oczyszczalni ścieków i transportu nieczystości ciekłych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następujących ustaw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 xml:space="preserve">-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ustawy z dnia 13 września 1996 r. o utrzymaniu czystości i porządku w gminach (t.j. Dz. U. z 2025 poz. 733),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ustawy z dnia 27 kwietnia 2001 r. Prawo ochrony środowiska (t.j. Dz. U.  z 2025 r. poz. 647 z późn. zm.) i aktów wykonawczych,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-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 xml:space="preserve"> ustawy z dnia 6 marca 2018 r. Prawo przedsiębiorców (t.j. Dz. U. z </w:t>
      </w:r>
      <w:r>
        <w:rPr>
          <w:rFonts w:cs="TimesNewRomanPSMT" w:ascii="Arial" w:hAnsi="Arial"/>
          <w:b w:val="false"/>
          <w:bCs w:val="false"/>
          <w:color w:val="000000"/>
          <w:sz w:val="24"/>
          <w:szCs w:val="24"/>
        </w:rPr>
        <w:t>2025 r. poz. 1480 z późn. zm.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 xml:space="preserve">- uchwały </w:t>
      </w:r>
      <w:bookmarkStart w:id="1" w:name="tresc_kopia_1_kopia_1"/>
      <w:bookmarkEnd w:id="1"/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Rady Miejskiej Mikołowa Nr LXIII/626/2022 z dnia 20 grudnia 2022 r. w sprawie 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gminy,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- uchwały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Rady Miejskiej Mikołowa N</w:t>
      </w:r>
      <w:r>
        <w:rPr>
          <w:rFonts w:cs="LiberationSerif" w:ascii="Arial" w:hAnsi="Arial"/>
          <w:color w:val="000000"/>
          <w:sz w:val="24"/>
          <w:szCs w:val="24"/>
        </w:rPr>
        <w:t>r LXXVII/813/2024 z dnia 26 marca 2024 r. w sprawie określenia wymagań, jakie powinien spełniać przedsiębiorca ubiegający się o uzyskanie zezwolenia na prowadzenie działalności w zakresie  opróżniania zbiorników bezodpływowych lub osadników w instalacjach przydomowych oczyszczalni ścieków i transportu nieczystości ciekłych,</w:t>
      </w:r>
    </w:p>
    <w:p>
      <w:pPr>
        <w:pStyle w:val="BodyText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  <w:u w:val="none"/>
        </w:rPr>
        <w:t>- rozporządzenia Ministra Infrastruktury z dnia 17 października 2002 r. w sprawie warunków wprowadzenia  nieczystości ciekłych do stacji zlewnych,</w:t>
      </w:r>
    </w:p>
    <w:p>
      <w:pPr>
        <w:pStyle w:val="BodyText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- rozporządzenia Ministra Infrastruktury z dnia 12 listopada 2002 r. w sprawie wymagań dla pojazdów asenizacyjnych.</w:t>
      </w:r>
    </w:p>
    <w:p>
      <w:pPr>
        <w:pStyle w:val="Normal"/>
        <w:spacing w:lineRule="auto" w:line="240" w:before="0" w:after="0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Określa się zasady</w:t>
      </w:r>
      <w:r>
        <w:rPr>
          <w:rFonts w:cs="Times New Roman" w:ascii="Arial" w:hAnsi="Arial"/>
          <w:color w:val="000000"/>
          <w:sz w:val="24"/>
          <w:szCs w:val="24"/>
        </w:rPr>
        <w:t xml:space="preserve"> </w:t>
      </w:r>
      <w:r>
        <w:rPr>
          <w:rFonts w:cs="LiberationSerif" w:ascii="Arial" w:hAnsi="Arial"/>
          <w:color w:val="000000"/>
          <w:sz w:val="24"/>
          <w:szCs w:val="24"/>
        </w:rPr>
        <w:t>umożliwiające przypisanie przedsiębiorców do kategorii ryzyka, zgodnie z załącznikami Nr 1 i 2  do niniejszego zarządzenia.</w:t>
      </w:r>
    </w:p>
    <w:p>
      <w:pPr>
        <w:pStyle w:val="Normal"/>
        <w:spacing w:lineRule="auto" w:line="240" w:before="0" w:after="0"/>
        <w:jc w:val="left"/>
        <w:rPr>
          <w:rFonts w:cs="LiberationSerif"/>
          <w:color w:val="000000"/>
          <w:sz w:val="24"/>
          <w:szCs w:val="24"/>
        </w:rPr>
      </w:pPr>
      <w:r>
        <w:rPr>
          <w:rFonts w:cs="LiberationSerif"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§ 3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Traci moc zarządzenie Burmistrza Mikołowa nr 1299/181/2017 z dnia 1 czerwca 2017 r.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§ 4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Wykonanie zarządzenia powierza się Naczelnikowi Wydziału Inwestycji, Utrzymania Infrastruktury i Usług Komunalnych.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§ 5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Zarządzenie wchodzi w życie z dniem podpisania.</w:t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</w:rPr>
      </w:pPr>
      <w:r>
        <w:rPr>
          <w:rFonts w:cs="LiberationSerif" w:ascii="Times New Roman" w:hAnsi="Times New Roman"/>
          <w:color w:val="000000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before="0" w:after="280"/>
        <w:jc w:val="both"/>
        <w:rPr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Otrzymują:</w:t>
      </w:r>
    </w:p>
    <w:tbl>
      <w:tblPr>
        <w:tblW w:w="913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24"/>
        <w:gridCol w:w="3024"/>
        <w:gridCol w:w="3083"/>
      </w:tblGrid>
      <w:tr>
        <w:trPr/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1. Biuro Burmistrzów</w:t>
            </w:r>
          </w:p>
          <w:p>
            <w:pPr>
              <w:pStyle w:val="Zawartotabeli"/>
              <w:spacing w:before="0" w:after="16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Zawartotabeli"/>
              <w:spacing w:before="0" w:after="16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Zawartotabeli"/>
              <w:spacing w:before="0" w:after="16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2. Rada Miejska Mikołowa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3. Wydział Inwestycji, Utrzymania Infrastruktury i Usług Komunalnych</w:t>
            </w:r>
          </w:p>
          <w:p>
            <w:pPr>
              <w:pStyle w:val="Zawartotabeli"/>
              <w:spacing w:before="0" w:after="16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</w:tbl>
    <w:p>
      <w:pPr>
        <w:pStyle w:val="Normal"/>
        <w:spacing w:before="0" w:after="28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Załącznik Nr 1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do Zarządzenia Burmistrza Mikołowa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Nr 721/126/2026 z dnia 28 maja 2026 r.</w:t>
      </w:r>
    </w:p>
    <w:p>
      <w:pPr>
        <w:pStyle w:val="Normal"/>
        <w:jc w:val="right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Serif" w:ascii="Arial" w:hAnsi="Arial"/>
          <w:b/>
          <w:bCs/>
          <w:color w:val="000000"/>
          <w:sz w:val="24"/>
          <w:szCs w:val="24"/>
        </w:rPr>
        <w:t>Zasady umożliwiające przypisanie przedsiębiorców odbierających odpady komunalne od właścicieli nieruchomości na terenie gminy Mikołów do jednej z następujących kategorii ryzyka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 w:cs="LiberationSerif"/>
          <w:color w:val="000000"/>
          <w:sz w:val="24"/>
          <w:szCs w:val="24"/>
        </w:rPr>
      </w:pPr>
      <w:r>
        <w:rPr>
          <w:rFonts w:cs="LiberationSerif" w:ascii="Bookman Old Style" w:hAnsi="Bookman Old Style"/>
          <w:color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Ilość stwierdzonych nieprawidłowości w poprzedniej kontroli przedsiębiorcy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Liberation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Kategoria ryzyka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Brak stwierdzonych nieprawidłowości lub jedna stwierdzona nieprawidłowość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  <w:sz w:val="24"/>
                <w:szCs w:val="24"/>
              </w:rPr>
            </w:pPr>
            <w:r>
              <w:rPr>
                <w:rFonts w:cs="LiberationSerif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niska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Od dwóch do czterech stwierdzonych nieprawidłowości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  <w:sz w:val="24"/>
                <w:szCs w:val="24"/>
              </w:rPr>
            </w:pPr>
            <w:r>
              <w:rPr>
                <w:rFonts w:cs="LiberationSerif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średnia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Pięć lub więcej stwierdzonych nieprawidłowości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  <w:sz w:val="24"/>
                <w:szCs w:val="24"/>
              </w:rPr>
            </w:pPr>
            <w:r>
              <w:rPr>
                <w:rFonts w:cs="LiberationSerif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wysoka</w:t>
            </w:r>
          </w:p>
        </w:tc>
      </w:tr>
    </w:tbl>
    <w:p>
      <w:pPr>
        <w:pStyle w:val="Normal"/>
        <w:jc w:val="both"/>
        <w:rPr>
          <w:rFonts w:ascii="Bookman Old Style" w:hAnsi="Bookman Old Style" w:cs="LiberationSerif"/>
          <w:color w:val="000000"/>
          <w:sz w:val="24"/>
          <w:szCs w:val="24"/>
        </w:rPr>
      </w:pPr>
      <w:r>
        <w:rPr>
          <w:rFonts w:cs="LiberationSerif" w:ascii="Bookman Old Style" w:hAnsi="Bookman Old Style"/>
          <w:color w:val="000000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Załącznik Nr 2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do Zarządzenia Burmistrza Mikołowa 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        </w:t>
      </w:r>
      <w:r>
        <w:rPr>
          <w:rFonts w:cs="LiberationSerif" w:ascii="Arial" w:hAnsi="Arial"/>
          <w:color w:val="000000"/>
          <w:sz w:val="24"/>
          <w:szCs w:val="24"/>
        </w:rPr>
        <w:t>Nr 721/126/2026 z dnia 28 maja 2026 r.</w:t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376" w:leader="none"/>
        </w:tabs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Zasady umożliwiające przypisanie przedsiębiorców działających w </w:t>
      </w:r>
      <w:r>
        <w:rPr>
          <w:rFonts w:cs="Times New Roman" w:ascii="Arial" w:hAnsi="Arial"/>
          <w:b/>
          <w:bCs/>
          <w:sz w:val="24"/>
          <w:szCs w:val="24"/>
        </w:rPr>
        <w:t> zakresie opróżniania zbiorników bezodpływowych lub osadników w instalacjach  przydomowych oczyszczalni ścieków i transportu nieczystości ciekłych</w:t>
      </w:r>
      <w:r>
        <w:rPr>
          <w:rFonts w:cs="LiberationSerif-Bold"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na terenie Gminy Mikołów do jednej z następujących kategorii ryzyka</w:t>
      </w:r>
    </w:p>
    <w:p>
      <w:pPr>
        <w:pStyle w:val="Normal"/>
        <w:tabs>
          <w:tab w:val="clear" w:pos="708"/>
          <w:tab w:val="left" w:pos="2376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376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 w:cs="LiberationSerif"/>
          <w:color w:val="000000"/>
          <w:sz w:val="24"/>
          <w:szCs w:val="24"/>
        </w:rPr>
      </w:pPr>
      <w:r>
        <w:rPr>
          <w:rFonts w:cs="LiberationSerif" w:ascii="Bookman Old Style" w:hAnsi="Bookman Old Style"/>
          <w:color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Ilość stwierdzonych nieprawidłowości w poprzedniej kontroli przedsiębiorcy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LiberationSerif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Kategoria ryzyka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Brak stwierdzonych nieprawidłowości lub jedna stwierdzona nieprawidłowość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  <w:sz w:val="24"/>
                <w:szCs w:val="24"/>
              </w:rPr>
            </w:pPr>
            <w:r>
              <w:rPr>
                <w:rFonts w:cs="LiberationSerif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niska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Od dwóch do czterech stwierdzonych nieprawidłowości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  <w:sz w:val="24"/>
                <w:szCs w:val="24"/>
              </w:rPr>
            </w:pPr>
            <w:r>
              <w:rPr>
                <w:rFonts w:cs="LiberationSerif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średnia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Pięć lub więcej stwierdzonych nieprawidłowości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  <w:sz w:val="24"/>
                <w:szCs w:val="24"/>
              </w:rPr>
            </w:pPr>
            <w:r>
              <w:rPr>
                <w:rFonts w:cs="LiberationSerif"/>
                <w:color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wysoka</w:t>
            </w:r>
          </w:p>
        </w:tc>
      </w:tr>
    </w:tbl>
    <w:p>
      <w:pPr>
        <w:pStyle w:val="Normal"/>
        <w:jc w:val="both"/>
        <w:rPr>
          <w:rFonts w:ascii="Bookman Old Style" w:hAnsi="Bookman Old Style" w:cs="LiberationSerif"/>
          <w:color w:val="000000"/>
          <w:sz w:val="24"/>
          <w:szCs w:val="24"/>
        </w:rPr>
      </w:pPr>
      <w:r>
        <w:rPr>
          <w:rFonts w:cs="LiberationSerif" w:ascii="Bookman Old Style" w:hAnsi="Bookman Old Styl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2376" w:leader="none"/>
        </w:tabs>
        <w:spacing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PL Bahamas">
    <w:altName w:val="Courier New"/>
    <w:charset w:val="ee"/>
    <w:family w:val="roman"/>
    <w:pitch w:val="variable"/>
  </w:font>
  <w:font w:name="Trebuchet MS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13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10c31"/>
    <w:pPr>
      <w:spacing w:before="0" w:after="160"/>
      <w:ind w:lef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TYTU">
    <w:name w:val="TYTUŁ"/>
    <w:basedOn w:val="Normal"/>
    <w:qFormat/>
    <w:pPr>
      <w:jc w:val="center"/>
    </w:pPr>
    <w:rPr>
      <w:rFonts w:ascii="PL Bahamas;Courier New" w:hAnsi="PL Bahamas;Courier New" w:cs="PL Bahamas;Courier New"/>
      <w:b/>
      <w:caps/>
      <w:sz w:val="4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rebuchet MS" w:hAnsi="Trebuchet MS" w:eastAsia="Arial" w:cs="Trebuchet MS"/>
      <w:color w:val="000000"/>
      <w:kern w:val="0"/>
      <w:sz w:val="24"/>
      <w:szCs w:val="24"/>
      <w:lang w:val="pl-PL" w:eastAsia="zxx" w:bidi="ar-SA"/>
    </w:rPr>
  </w:style>
  <w:style w:type="paragraph" w:styleId="Pa14">
    <w:name w:val="Pa14"/>
    <w:basedOn w:val="Default"/>
    <w:next w:val="Default"/>
    <w:qFormat/>
    <w:pPr>
      <w:spacing w:lineRule="atLeast" w:line="241"/>
    </w:pPr>
    <w:rPr>
      <w:rFonts w:cs="Times New Roman"/>
      <w:color w:val="00000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113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B22F-3862-44E5-AF81-19D2C877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Application>LibreOffice/7.6.2.1$Windows_X86_64 LibreOffice_project/56f7684011345957bbf33a7ee678afaf4d2ba333</Application>
  <AppVersion>15.0000</AppVersion>
  <Pages>6</Pages>
  <Words>850</Words>
  <Characters>5325</Characters>
  <CharactersWithSpaces>6144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2026-01-21T15:40:00Z</dcterms:created>
  <dc:creator>Bartłomiej Litwinek</dc:creator>
  <dc:description/>
  <dc:language>pl-PL</dc:language>
  <cp:lastModifiedBy/>
  <cp:lastPrinted>2026-05-28T13:54:42Z</cp:lastPrinted>
  <dcterms:modified xsi:type="dcterms:W3CDTF">2026-05-28T13:56:19Z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